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Executive Briefing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&lt;div align="center"&gt;</w:t>
      </w:r>
    </w:p>
    <w:p>
      <w:pPr>
        <w:pStyle w:val="Heading2"/>
      </w:pPr>
      <w:r>
        <w:t>Acme Inc — Compliance Status</w:t>
      </w:r>
    </w:p>
    <w:p>
      <w:r>
        <w:t xml:space="preserve">Date: 2026-03-19</w:t>
      </w:r>
    </w:p>
    <w:p>
      <w:r>
        <w:t xml:space="preserve">Project: nextjs-saas-example</w:t>
      </w:r>
    </w:p>
    <w:p>
      <w:r>
        <w:t xml:space="preserve">&lt;/div&gt;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Compliance Gauge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COMPLIANCE GAUGE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[░░░░░░░░░░░░░░░░░░░░░░░░░░░░░░░░░░░░░░░░] 0/100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0    20    40    60    80   100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Status: CRITICAL</w:t>
      </w:r>
    </w:p>
    <w:p>
      <w:r>
        <w:rPr>
          <w:sz w:val="20"/>
        </w:rPr>
        <w:t xml:space="preserve">Metric  |  Value</w:t>
      </w:r>
    </w:p>
    <w:p>
      <w:r>
        <w:rPr>
          <w:sz w:val="20"/>
        </w:rPr>
        <w:t xml:space="preserve">**Score**  |  0/100</w:t>
      </w:r>
    </w:p>
    <w:p>
      <w:r>
        <w:rPr>
          <w:sz w:val="20"/>
        </w:rPr>
        <w:t xml:space="preserve">**Grade**  |  N/A</w:t>
      </w:r>
    </w:p>
    <w:p>
      <w:r>
        <w:rPr>
          <w:sz w:val="20"/>
        </w:rPr>
        <w:t xml:space="preserve">**Status**  |  Critical</w:t>
      </w:r>
    </w:p>
    <w:p>
      <w:r>
        <w:rPr>
          <w:sz w:val="20"/>
        </w:rPr>
        <w:t xml:space="preserve">**Documents**  |  108</w:t>
      </w:r>
    </w:p>
    <w:p>
      <w:r>
        <w:rPr>
          <w:sz w:val="20"/>
        </w:rPr>
        <w:t xml:space="preserve">**Services**  |  8</w:t>
      </w:r>
    </w:p>
    <w:p>
      <w:pPr>
        <w:pStyle w:val="Heading2"/>
      </w:pPr>
      <w:r>
        <w:t>Key Findings</w:t>
      </w:r>
    </w:p>
    <w:p>
      <w:pPr>
        <w:pStyle w:val="Heading3"/>
      </w:pPr>
      <w:r>
        <w:t>1. Compliance Status: Critical</w:t>
      </w:r>
    </w:p>
    <w:p>
      <w:r>
        <w:t xml:space="preserve">Acme Inc has compliance gaps requiring attention with a score of 0/100 (Grade: N/A). While 108 documents have been generated for 8 services, significant work is needed to reach an acceptable compliance level.</w:t>
      </w:r>
    </w:p>
    <w:p>
      <w:pPr>
        <w:pStyle w:val="Heading3"/>
      </w:pPr>
      <w:r>
        <w:t>2. Top Risk: AI Regulatory Compliance</w:t>
      </w:r>
    </w:p>
    <w:p>
      <w:r>
        <w:t xml:space="preserve">1 AI service(s) in use (openai). AI Disclosure is generated, but ongoing monitoring is needed as the EU AI Act enforcement begins August 2, 2026. Ensure AI risk classifications are reviewed quarterly.</w:t>
      </w:r>
    </w:p>
    <w:p>
      <w:r>
        <w:t xml:space="preserve">Potential exposure: Up to EUR 35 million for non-compliance with AI Act obligations</w:t>
      </w:r>
    </w:p>
    <w:p>
      <w:pPr>
        <w:pStyle w:val="Heading3"/>
      </w:pPr>
      <w:r>
        <w:t>3. Recommended Action: Initiate Compliance Remediation Program</w:t>
      </w:r>
    </w:p>
    <w:p>
      <w:r>
        <w:t xml:space="preserve">The current compliance score indicates significant gaps. Recommend engaging legal counsel to review all generated documents, prioritizing Privacy Policy and Data Processing Agreements. Schedule a cross-functional compliance review within 30 days.</w:t>
      </w:r>
    </w:p>
    <w:p>
      <w:r>
        <w:t xml:space="preserve">Timeline: Immediate — initiate within 1 week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At a Glance</w:t>
      </w:r>
    </w:p>
    <w:p>
      <w:r>
        <w:rPr>
          <w:sz w:val="20"/>
        </w:rPr>
        <w:t xml:space="preserve">Area  |  Status</w:t>
      </w:r>
    </w:p>
    <w:p>
      <w:r>
        <w:rPr>
          <w:sz w:val="20"/>
        </w:rPr>
        <w:t xml:space="preserve">Privacy &amp; Data Protection  |  Covered (3 docs)</w:t>
      </w:r>
    </w:p>
    <w:p>
      <w:r>
        <w:rPr>
          <w:sz w:val="20"/>
        </w:rPr>
        <w:t xml:space="preserve">Information Security  |  Covered (3 docs)</w:t>
      </w:r>
    </w:p>
    <w:p>
      <w:r>
        <w:rPr>
          <w:sz w:val="20"/>
        </w:rPr>
        <w:t xml:space="preserve">AI Governance  |  Covered (3 docs)</w:t>
      </w:r>
    </w:p>
    <w:p>
      <w:r>
        <w:rPr>
          <w:sz w:val="20"/>
        </w:rPr>
        <w:t xml:space="preserve">Vendor Management  |  Covered (2 docs)</w:t>
      </w:r>
    </w:p>
    <w:p>
      <w:pPr>
        <w:pStyle w:val="Heading2"/>
      </w:pPr>
      <w:r>
        <w:t>Services Overview</w:t>
      </w:r>
    </w:p>
    <w:p>
      <w:r>
        <w:t xml:space="preserve">8 third-party services detected across 7 categories:</w:t>
      </w:r>
    </w:p>
    <w:p>
      <w:pPr>
        <w:pStyle w:val="ListParagraph"/>
        <w:numPr>
          <w:ilvl w:val="0"/>
          <w:numId w:val="1"/>
        </w:numPr>
      </w:pPr>
      <w:r>
        <w:t xml:space="preserve">**monitoring:** @sentry/node</w:t>
      </w:r>
    </w:p>
    <w:p>
      <w:pPr>
        <w:pStyle w:val="ListParagraph"/>
        <w:numPr>
          <w:ilvl w:val="0"/>
          <w:numId w:val="1"/>
        </w:numPr>
      </w:pPr>
      <w:r>
        <w:t xml:space="preserve">**auth:** @supabase/supabase-js</w:t>
      </w:r>
    </w:p>
    <w:p>
      <w:pPr>
        <w:pStyle w:val="ListParagraph"/>
        <w:numPr>
          <w:ilvl w:val="0"/>
          <w:numId w:val="1"/>
        </w:numPr>
      </w:pPr>
      <w:r>
        <w:t xml:space="preserve">**ai:** openai</w:t>
      </w:r>
    </w:p>
    <w:p>
      <w:pPr>
        <w:pStyle w:val="ListParagraph"/>
        <w:numPr>
          <w:ilvl w:val="0"/>
          <w:numId w:val="1"/>
        </w:numPr>
      </w:pPr>
      <w:r>
        <w:t xml:space="preserve">**analytics:** posthog</w:t>
      </w:r>
    </w:p>
    <w:p>
      <w:pPr>
        <w:pStyle w:val="ListParagraph"/>
        <w:numPr>
          <w:ilvl w:val="0"/>
          <w:numId w:val="1"/>
        </w:numPr>
      </w:pPr>
      <w:r>
        <w:t xml:space="preserve">**database:** prisma</w:t>
      </w:r>
    </w:p>
    <w:p>
      <w:pPr>
        <w:pStyle w:val="ListParagraph"/>
        <w:numPr>
          <w:ilvl w:val="0"/>
          <w:numId w:val="1"/>
        </w:numPr>
      </w:pPr>
      <w:r>
        <w:t xml:space="preserve">**email:** resend</w:t>
      </w:r>
    </w:p>
    <w:p>
      <w:pPr>
        <w:pStyle w:val="ListParagraph"/>
        <w:numPr>
          <w:ilvl w:val="0"/>
          <w:numId w:val="1"/>
        </w:numPr>
      </w:pPr>
      <w:r>
        <w:t xml:space="preserve">**payment:** stripe, stripe-ios</w:t>
      </w:r>
    </w:p>
    <w:p>
      <w:pPr>
        <w:pBdr>
          <w:bottom w:val="single" w:sz="6" w:space="1" w:color="999999"/>
        </w:pBdr>
      </w:pPr>
    </w:p>
    <w:p>
      <w:r>
        <w:t xml:space="preserve">This Executive Briefing was auto-generated by [Codepliant](https://github.com/joechensmartz/codepliant) based on automated code analysis. It is intended as a summary for executive review and does not constitute legal advice. Consult legal counsel for compliance decisions.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